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46265" w14:textId="2F1E4274" w:rsidR="005E4253" w:rsidRPr="00F90080" w:rsidRDefault="005E4253" w:rsidP="008A0792">
      <w:pPr>
        <w:spacing w:after="0"/>
        <w:jc w:val="right"/>
        <w:rPr>
          <w:bCs/>
          <w:color w:val="365F91" w:themeColor="accent1" w:themeShade="BF"/>
          <w:sz w:val="32"/>
        </w:rPr>
      </w:pPr>
      <w:r w:rsidRPr="00F90080">
        <w:rPr>
          <w:b/>
          <w:color w:val="365F91" w:themeColor="accent1" w:themeShade="BF"/>
          <w:sz w:val="32"/>
        </w:rPr>
        <w:tab/>
      </w:r>
      <w:r w:rsidRPr="00F90080">
        <w:rPr>
          <w:b/>
          <w:color w:val="365F91" w:themeColor="accent1" w:themeShade="BF"/>
          <w:sz w:val="32"/>
        </w:rPr>
        <w:tab/>
      </w:r>
      <w:r w:rsidRPr="00F90080">
        <w:rPr>
          <w:b/>
          <w:color w:val="365F91" w:themeColor="accent1" w:themeShade="BF"/>
          <w:sz w:val="32"/>
        </w:rPr>
        <w:tab/>
      </w:r>
      <w:r w:rsidRPr="00F90080">
        <w:rPr>
          <w:b/>
          <w:color w:val="365F91" w:themeColor="accent1" w:themeShade="BF"/>
          <w:sz w:val="32"/>
        </w:rPr>
        <w:tab/>
      </w:r>
      <w:r w:rsidRPr="00F90080">
        <w:rPr>
          <w:b/>
          <w:color w:val="365F91" w:themeColor="accent1" w:themeShade="BF"/>
          <w:sz w:val="32"/>
        </w:rPr>
        <w:tab/>
      </w:r>
      <w:r w:rsidRPr="00F90080">
        <w:rPr>
          <w:bCs/>
          <w:color w:val="365F91" w:themeColor="accent1" w:themeShade="BF"/>
          <w:szCs w:val="16"/>
        </w:rPr>
        <w:tab/>
      </w:r>
      <w:r w:rsidRPr="00F90080">
        <w:rPr>
          <w:bCs/>
          <w:color w:val="365F91" w:themeColor="accent1" w:themeShade="BF"/>
          <w:szCs w:val="16"/>
        </w:rPr>
        <w:tab/>
      </w:r>
      <w:r w:rsidRPr="00F90080">
        <w:rPr>
          <w:bCs/>
          <w:color w:val="365F91" w:themeColor="accent1" w:themeShade="BF"/>
          <w:szCs w:val="16"/>
        </w:rPr>
        <w:tab/>
      </w:r>
      <w:r w:rsidR="003D0DED">
        <w:rPr>
          <w:bCs/>
          <w:color w:val="365F91" w:themeColor="accent1" w:themeShade="BF"/>
          <w:szCs w:val="16"/>
        </w:rPr>
        <w:t>09</w:t>
      </w:r>
      <w:r w:rsidR="005160F3">
        <w:rPr>
          <w:bCs/>
          <w:color w:val="365F91" w:themeColor="accent1" w:themeShade="BF"/>
          <w:szCs w:val="16"/>
        </w:rPr>
        <w:t xml:space="preserve"> </w:t>
      </w:r>
      <w:r w:rsidR="003D0DED">
        <w:rPr>
          <w:bCs/>
          <w:color w:val="365F91" w:themeColor="accent1" w:themeShade="BF"/>
          <w:szCs w:val="16"/>
        </w:rPr>
        <w:t xml:space="preserve"> A</w:t>
      </w:r>
      <w:r w:rsidR="00E65A13">
        <w:rPr>
          <w:bCs/>
          <w:color w:val="365F91" w:themeColor="accent1" w:themeShade="BF"/>
          <w:szCs w:val="16"/>
        </w:rPr>
        <w:t>gosto</w:t>
      </w:r>
      <w:r w:rsidR="001265DA">
        <w:rPr>
          <w:bCs/>
          <w:color w:val="365F91" w:themeColor="accent1" w:themeShade="BF"/>
          <w:szCs w:val="16"/>
        </w:rPr>
        <w:t xml:space="preserve"> </w:t>
      </w:r>
      <w:r w:rsidR="003D0DED">
        <w:rPr>
          <w:bCs/>
          <w:color w:val="365F91" w:themeColor="accent1" w:themeShade="BF"/>
          <w:szCs w:val="16"/>
        </w:rPr>
        <w:t xml:space="preserve"> </w:t>
      </w:r>
      <w:r w:rsidR="008A0792">
        <w:rPr>
          <w:bCs/>
          <w:color w:val="365F91" w:themeColor="accent1" w:themeShade="BF"/>
          <w:szCs w:val="16"/>
        </w:rPr>
        <w:t>2021</w:t>
      </w:r>
    </w:p>
    <w:p w14:paraId="2BDA140D" w14:textId="77777777" w:rsidR="008A0792" w:rsidRDefault="008A0792" w:rsidP="008A0792">
      <w:pPr>
        <w:spacing w:after="0"/>
        <w:jc w:val="both"/>
        <w:rPr>
          <w:b/>
          <w:color w:val="365F91" w:themeColor="accent1" w:themeShade="BF"/>
          <w:sz w:val="28"/>
          <w:szCs w:val="20"/>
        </w:rPr>
      </w:pPr>
    </w:p>
    <w:p w14:paraId="017BCFE7" w14:textId="520C25C9" w:rsidR="008A0792" w:rsidRPr="005914F1" w:rsidRDefault="008A0792" w:rsidP="008A0792">
      <w:pPr>
        <w:spacing w:after="0"/>
        <w:jc w:val="both"/>
        <w:rPr>
          <w:b/>
          <w:color w:val="365F91" w:themeColor="accent1" w:themeShade="BF"/>
          <w:sz w:val="28"/>
          <w:szCs w:val="20"/>
        </w:rPr>
      </w:pPr>
      <w:r>
        <w:rPr>
          <w:b/>
          <w:color w:val="365F91" w:themeColor="accent1" w:themeShade="BF"/>
          <w:sz w:val="28"/>
          <w:szCs w:val="20"/>
        </w:rPr>
        <w:t xml:space="preserve">CCS: </w:t>
      </w:r>
      <w:r w:rsidR="00854053">
        <w:rPr>
          <w:b/>
          <w:color w:val="365F91" w:themeColor="accent1" w:themeShade="BF"/>
          <w:sz w:val="28"/>
          <w:szCs w:val="20"/>
        </w:rPr>
        <w:t>Masa Salarial alcanza crecimiento histórico de 10,1% en junio, impulsada por bajas bases de comparación</w:t>
      </w:r>
    </w:p>
    <w:p w14:paraId="74780899" w14:textId="30BCC445" w:rsidR="00B32D9F" w:rsidRPr="003A169D" w:rsidRDefault="00B32D9F" w:rsidP="00B32D9F">
      <w:pPr>
        <w:spacing w:before="240"/>
        <w:jc w:val="both"/>
      </w:pPr>
      <w:r w:rsidRPr="003A169D">
        <w:t xml:space="preserve">Según las estimaciones de la CCS en base a los datos entregados por el INE, la masa salarial </w:t>
      </w:r>
      <w:r w:rsidR="00522274" w:rsidRPr="003A169D">
        <w:t>creció</w:t>
      </w:r>
      <w:r w:rsidRPr="003A169D">
        <w:t xml:space="preserve"> un </w:t>
      </w:r>
      <w:r w:rsidR="00E02DF7" w:rsidRPr="003A169D">
        <w:t>10,1</w:t>
      </w:r>
      <w:r w:rsidRPr="003A169D">
        <w:t>% en 12 meses</w:t>
      </w:r>
      <w:r w:rsidR="00A679A1" w:rsidRPr="003A169D">
        <w:t xml:space="preserve"> en </w:t>
      </w:r>
      <w:r w:rsidR="00E02DF7" w:rsidRPr="003A169D">
        <w:t>junio</w:t>
      </w:r>
      <w:r w:rsidR="005404EC" w:rsidRPr="003A169D">
        <w:t>,</w:t>
      </w:r>
      <w:r w:rsidR="001265DA" w:rsidRPr="003A169D">
        <w:t xml:space="preserve"> registrando </w:t>
      </w:r>
      <w:r w:rsidR="003D0DED" w:rsidRPr="003A169D">
        <w:t>su</w:t>
      </w:r>
      <w:r w:rsidR="00DD6A3C" w:rsidRPr="003A169D">
        <w:t xml:space="preserve"> mejor desempeño</w:t>
      </w:r>
      <w:r w:rsidR="00522274" w:rsidRPr="003A169D">
        <w:t xml:space="preserve"> </w:t>
      </w:r>
      <w:r w:rsidR="00E02DF7" w:rsidRPr="003A169D">
        <w:t>de los últimos 10 años</w:t>
      </w:r>
      <w:r w:rsidR="00522274" w:rsidRPr="003A169D">
        <w:t>.</w:t>
      </w:r>
    </w:p>
    <w:p w14:paraId="34D38FC5" w14:textId="6C7EA271" w:rsidR="00EE108F" w:rsidRPr="003A169D" w:rsidRDefault="00EE108F" w:rsidP="00B32D9F">
      <w:pPr>
        <w:spacing w:before="240"/>
        <w:jc w:val="both"/>
      </w:pPr>
      <w:r w:rsidRPr="003A169D">
        <w:t xml:space="preserve">Los resultados se explican por un crecimiento de </w:t>
      </w:r>
      <w:r w:rsidR="00FC1DB8" w:rsidRPr="003A169D">
        <w:t>7,9</w:t>
      </w:r>
      <w:r w:rsidRPr="003A169D">
        <w:t xml:space="preserve">% en el empleo (el más alto desde </w:t>
      </w:r>
      <w:r w:rsidR="00FC1DB8" w:rsidRPr="003A169D">
        <w:t>enero</w:t>
      </w:r>
      <w:r w:rsidRPr="003A169D">
        <w:t xml:space="preserve"> de 201</w:t>
      </w:r>
      <w:r w:rsidR="00FC1DB8" w:rsidRPr="003A169D">
        <w:t>0</w:t>
      </w:r>
      <w:r w:rsidRPr="003A169D">
        <w:t xml:space="preserve">), acompañado de una expansión de </w:t>
      </w:r>
      <w:r w:rsidR="00FC1DB8" w:rsidRPr="003A169D">
        <w:t>2</w:t>
      </w:r>
      <w:r w:rsidRPr="003A169D">
        <w:t xml:space="preserve">% de las remuneraciones reales. El crecimiento del empleo, si bien es el más alto desde </w:t>
      </w:r>
      <w:r w:rsidR="00FC1DB8" w:rsidRPr="003A169D">
        <w:t>enero</w:t>
      </w:r>
      <w:r w:rsidRPr="003A169D">
        <w:t xml:space="preserve"> de 201</w:t>
      </w:r>
      <w:r w:rsidR="00FC1DB8" w:rsidRPr="003A169D">
        <w:t>0</w:t>
      </w:r>
      <w:r w:rsidRPr="003A169D">
        <w:t xml:space="preserve">, se vio beneficiado por las bajas bases de comparación, luego de </w:t>
      </w:r>
      <w:r w:rsidR="005841BA" w:rsidRPr="003A169D">
        <w:t>desplomarse</w:t>
      </w:r>
      <w:r w:rsidRPr="003A169D">
        <w:t xml:space="preserve"> </w:t>
      </w:r>
      <w:r w:rsidR="00465BEB" w:rsidRPr="003A169D">
        <w:t>12,9</w:t>
      </w:r>
      <w:r w:rsidRPr="003A169D">
        <w:t xml:space="preserve">% en </w:t>
      </w:r>
      <w:r w:rsidR="00465BEB" w:rsidRPr="003A169D">
        <w:t>junio</w:t>
      </w:r>
      <w:r w:rsidRPr="003A169D">
        <w:t xml:space="preserve"> de 2020. </w:t>
      </w:r>
      <w:r w:rsidR="003D0DED" w:rsidRPr="003A169D">
        <w:t>Comparado con el mes previo, en tanto, el crecimiento de la masa salarial fue bastante más moderado, de un 0,4%.</w:t>
      </w:r>
    </w:p>
    <w:p w14:paraId="3BEEBEC8" w14:textId="08B4113B" w:rsidR="00B32D9F" w:rsidRPr="003A169D" w:rsidRDefault="00DD6A3C" w:rsidP="00B32D9F">
      <w:pPr>
        <w:spacing w:before="240"/>
        <w:jc w:val="both"/>
      </w:pPr>
      <w:r w:rsidRPr="003A169D">
        <w:t>El indicador</w:t>
      </w:r>
      <w:r w:rsidR="00B32D9F" w:rsidRPr="003A169D">
        <w:t xml:space="preserve"> mide la evolución del total de ingresos laborales de los trabajadores asalariados, y se calcula a partir de la vari</w:t>
      </w:r>
      <w:r w:rsidR="00430372" w:rsidRPr="003A169D">
        <w:t>aci</w:t>
      </w:r>
      <w:r w:rsidR="00B32D9F" w:rsidRPr="003A169D">
        <w:t>ón en 12 meses de las remuneraciones reales y del empleo.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5841BA" w14:paraId="3EF0060A" w14:textId="77777777" w:rsidTr="005841BA">
        <w:tc>
          <w:tcPr>
            <w:tcW w:w="8828" w:type="dxa"/>
            <w:vAlign w:val="center"/>
          </w:tcPr>
          <w:p w14:paraId="032509A7" w14:textId="3B998CEE" w:rsidR="005841BA" w:rsidRDefault="005841BA" w:rsidP="005841BA">
            <w:pPr>
              <w:jc w:val="center"/>
              <w:rPr>
                <w:color w:val="365F91" w:themeColor="accent1" w:themeShade="BF"/>
              </w:rPr>
            </w:pPr>
            <w:r>
              <w:rPr>
                <w:noProof/>
                <w:color w:val="365F91" w:themeColor="accent1" w:themeShade="BF"/>
              </w:rPr>
              <w:drawing>
                <wp:inline distT="0" distB="0" distL="0" distR="0" wp14:anchorId="47BEF912" wp14:editId="2F4571AB">
                  <wp:extent cx="5400000" cy="3527117"/>
                  <wp:effectExtent l="19050" t="19050" r="10795" b="165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0" cy="3527117"/>
                          </a:xfrm>
                          <a:prstGeom prst="rect">
                            <a:avLst/>
                          </a:prstGeom>
                          <a:noFill/>
                          <a:ln>
                            <a:solidFill>
                              <a:schemeClr val="accent1"/>
                            </a:solidFill>
                          </a:ln>
                        </pic:spPr>
                      </pic:pic>
                    </a:graphicData>
                  </a:graphic>
                </wp:inline>
              </w:drawing>
            </w:r>
          </w:p>
        </w:tc>
      </w:tr>
    </w:tbl>
    <w:p w14:paraId="03C41107" w14:textId="17A475CA" w:rsidR="005841BA" w:rsidRPr="003A169D" w:rsidRDefault="003D0DED" w:rsidP="00B32D9F">
      <w:pPr>
        <w:spacing w:before="240"/>
        <w:jc w:val="both"/>
      </w:pPr>
      <w:r w:rsidRPr="003A169D">
        <w:t>Si hacemos el supuesto de que</w:t>
      </w:r>
      <w:r w:rsidR="00C535F1" w:rsidRPr="003A169D">
        <w:t xml:space="preserve"> las ingresos de los trabajadores no asalariados </w:t>
      </w:r>
      <w:r w:rsidR="00831A3C" w:rsidRPr="003A169D">
        <w:t>se comportan de manera similar a las remuneraciones, es posible estimar que la masa de ingresos laborales habría alcanzado un crecimiento en torno al 15% en 12 meses, también el más alto en 10 años</w:t>
      </w:r>
      <w:r w:rsidR="005841BA" w:rsidRPr="003A169D">
        <w:t>.</w:t>
      </w:r>
    </w:p>
    <w:p w14:paraId="5119D965" w14:textId="66D886CE" w:rsidR="00B32D9F" w:rsidRDefault="005841BA" w:rsidP="005841BA">
      <w:pPr>
        <w:rPr>
          <w:color w:val="365F91" w:themeColor="accent1" w:themeShade="BF"/>
        </w:rPr>
      </w:pPr>
      <w:r>
        <w:rPr>
          <w:color w:val="365F91" w:themeColor="accent1" w:themeShade="BF"/>
        </w:rPr>
        <w:br w:type="page"/>
      </w:r>
    </w:p>
    <w:p w14:paraId="68536426" w14:textId="1A1356C0" w:rsidR="005841BA" w:rsidRPr="003A169D" w:rsidRDefault="005841BA" w:rsidP="00B32D9F">
      <w:pPr>
        <w:spacing w:before="240"/>
        <w:jc w:val="both"/>
      </w:pPr>
      <w:r w:rsidRPr="003A169D">
        <w:lastRenderedPageBreak/>
        <w:t xml:space="preserve">Al observar </w:t>
      </w:r>
      <w:r w:rsidR="00260DE9" w:rsidRPr="003A169D">
        <w:t xml:space="preserve">los principales sectores generadores de empleo, vemos </w:t>
      </w:r>
      <w:r w:rsidR="006E236C" w:rsidRPr="003A169D">
        <w:t>aumentos generalizados en la ocupación</w:t>
      </w:r>
      <w:r w:rsidR="00260DE9" w:rsidRPr="003A169D">
        <w:t>, a excepción de las actividades financieras y de seguros (</w:t>
      </w:r>
      <w:r w:rsidR="00D13810" w:rsidRPr="003A169D">
        <w:t xml:space="preserve">donde cayó un </w:t>
      </w:r>
      <w:r w:rsidR="00260DE9" w:rsidRPr="003A169D">
        <w:t>-9,4%</w:t>
      </w:r>
      <w:r w:rsidR="00D13810" w:rsidRPr="003A169D">
        <w:t xml:space="preserve"> en 12 meses</w:t>
      </w:r>
      <w:r w:rsidR="00260DE9" w:rsidRPr="003A169D">
        <w:t>).</w:t>
      </w:r>
    </w:p>
    <w:p w14:paraId="6CBFA807" w14:textId="343AF75A" w:rsidR="000679C9" w:rsidRPr="003A169D" w:rsidRDefault="00602CFC" w:rsidP="00B32D9F">
      <w:pPr>
        <w:jc w:val="both"/>
      </w:pPr>
      <w:r w:rsidRPr="003A169D">
        <w:t xml:space="preserve">El mayor crecimiento del empleo se registra en los sectores </w:t>
      </w:r>
      <w:r w:rsidR="00A7748D" w:rsidRPr="003A169D">
        <w:t>construcción (</w:t>
      </w:r>
      <w:r w:rsidR="00260DE9" w:rsidRPr="003A169D">
        <w:t>40</w:t>
      </w:r>
      <w:r w:rsidR="00A7748D" w:rsidRPr="003A169D">
        <w:t>%)</w:t>
      </w:r>
      <w:r w:rsidR="00854053" w:rsidRPr="003A169D">
        <w:t>,</w:t>
      </w:r>
      <w:r w:rsidR="00A7748D" w:rsidRPr="003A169D">
        <w:t xml:space="preserve"> alojamiento y alimentación (</w:t>
      </w:r>
      <w:r w:rsidR="00260DE9" w:rsidRPr="003A169D">
        <w:t>37</w:t>
      </w:r>
      <w:r w:rsidR="00A7748D" w:rsidRPr="003A169D">
        <w:t>%)</w:t>
      </w:r>
      <w:r w:rsidR="000679C9" w:rsidRPr="003A169D">
        <w:t xml:space="preserve">, </w:t>
      </w:r>
      <w:r w:rsidR="00260DE9" w:rsidRPr="003A169D">
        <w:t>transporte y almacenamiento</w:t>
      </w:r>
      <w:r w:rsidR="00A7748D" w:rsidRPr="003A169D">
        <w:t xml:space="preserve"> (</w:t>
      </w:r>
      <w:r w:rsidR="00260DE9" w:rsidRPr="003A169D">
        <w:t>17</w:t>
      </w:r>
      <w:r w:rsidR="00A7748D" w:rsidRPr="003A169D">
        <w:t>%)</w:t>
      </w:r>
      <w:r w:rsidR="00260DE9" w:rsidRPr="003A169D">
        <w:t xml:space="preserve"> y</w:t>
      </w:r>
      <w:r w:rsidR="000679C9" w:rsidRPr="003A169D">
        <w:t xml:space="preserve"> </w:t>
      </w:r>
      <w:r w:rsidR="00260DE9" w:rsidRPr="003A169D">
        <w:t>comercio</w:t>
      </w:r>
      <w:r w:rsidR="00A7748D" w:rsidRPr="003A169D">
        <w:t xml:space="preserve"> (</w:t>
      </w:r>
      <w:r w:rsidR="00260DE9" w:rsidRPr="003A169D">
        <w:t xml:space="preserve">13%), </w:t>
      </w:r>
      <w:r w:rsidR="00C36A3D" w:rsidRPr="003A169D">
        <w:t xml:space="preserve">que logra </w:t>
      </w:r>
      <w:r w:rsidR="006E236C" w:rsidRPr="003A169D">
        <w:t>su</w:t>
      </w:r>
      <w:r w:rsidR="00C36A3D" w:rsidRPr="003A169D">
        <w:t xml:space="preserve"> mayor crecimiento desde 2013</w:t>
      </w:r>
      <w:r w:rsidR="000679C9" w:rsidRPr="003A169D">
        <w:t>.</w:t>
      </w:r>
    </w:p>
    <w:p w14:paraId="5CA71D06" w14:textId="1E18D0E9" w:rsidR="000679C9" w:rsidRPr="003A169D" w:rsidRDefault="000679C9" w:rsidP="00B32D9F">
      <w:pPr>
        <w:jc w:val="both"/>
      </w:pPr>
      <w:r w:rsidRPr="003A169D">
        <w:t xml:space="preserve">En este último trimestre móvil las cifras de empleo muestran una recuperación de </w:t>
      </w:r>
      <w:r w:rsidR="00C36A3D" w:rsidRPr="003A169D">
        <w:t>88</w:t>
      </w:r>
      <w:r w:rsidR="006E236C" w:rsidRPr="003A169D">
        <w:t>4</w:t>
      </w:r>
      <w:r w:rsidRPr="003A169D">
        <w:t xml:space="preserve"> mil puestos de trabajo</w:t>
      </w:r>
      <w:r w:rsidR="00CF5530" w:rsidRPr="003A169D">
        <w:t xml:space="preserve"> en 12 meses</w:t>
      </w:r>
      <w:r w:rsidRPr="003A169D">
        <w:t>, liderad</w:t>
      </w:r>
      <w:r w:rsidR="00CF5530" w:rsidRPr="003A169D">
        <w:t>a</w:t>
      </w:r>
      <w:r w:rsidRPr="003A169D">
        <w:t xml:space="preserve"> por el sector construcción</w:t>
      </w:r>
      <w:r w:rsidR="00CF5530" w:rsidRPr="003A169D">
        <w:t>,</w:t>
      </w:r>
      <w:r w:rsidRPr="003A169D">
        <w:t xml:space="preserve"> con </w:t>
      </w:r>
      <w:r w:rsidR="006E236C" w:rsidRPr="003A169D">
        <w:t>212</w:t>
      </w:r>
      <w:r w:rsidRPr="003A169D">
        <w:t xml:space="preserve"> mil </w:t>
      </w:r>
      <w:r w:rsidR="00CF5530" w:rsidRPr="003A169D">
        <w:t>plazas,</w:t>
      </w:r>
      <w:r w:rsidRPr="003A169D">
        <w:t xml:space="preserve"> segui</w:t>
      </w:r>
      <w:r w:rsidR="00994AA8" w:rsidRPr="003A169D">
        <w:t xml:space="preserve">do </w:t>
      </w:r>
      <w:r w:rsidR="00EE7381" w:rsidRPr="003A169D">
        <w:t>por el comercio</w:t>
      </w:r>
      <w:r w:rsidR="00423088" w:rsidRPr="003A169D">
        <w:t>,</w:t>
      </w:r>
      <w:r w:rsidR="00EE7381" w:rsidRPr="003A169D">
        <w:t xml:space="preserve"> con </w:t>
      </w:r>
      <w:r w:rsidR="006E236C" w:rsidRPr="003A169D">
        <w:t>173</w:t>
      </w:r>
      <w:r w:rsidR="00EE7381" w:rsidRPr="003A169D">
        <w:t xml:space="preserve"> mil</w:t>
      </w:r>
      <w:r w:rsidR="006E236C" w:rsidRPr="003A169D">
        <w:t>,</w:t>
      </w:r>
      <w:r w:rsidR="00EE7381" w:rsidRPr="003A169D">
        <w:t xml:space="preserve"> y en tercer lugar el resentido sector alojamiento y alimentación</w:t>
      </w:r>
      <w:r w:rsidR="006E236C" w:rsidRPr="003A169D">
        <w:t>,</w:t>
      </w:r>
      <w:r w:rsidR="00EE7381" w:rsidRPr="003A169D">
        <w:t xml:space="preserve"> que logró recuperar 8</w:t>
      </w:r>
      <w:r w:rsidR="006E236C" w:rsidRPr="003A169D">
        <w:t>6</w:t>
      </w:r>
      <w:r w:rsidR="00EE7381" w:rsidRPr="003A169D">
        <w:t xml:space="preserve"> mil </w:t>
      </w:r>
      <w:r w:rsidR="00423088" w:rsidRPr="003A169D">
        <w:t>empleos</w:t>
      </w:r>
      <w:r w:rsidR="00EE7381" w:rsidRPr="003A169D">
        <w:t xml:space="preserve"> en pandemia.</w:t>
      </w:r>
    </w:p>
    <w:p w14:paraId="1195BC47" w14:textId="22F1477A" w:rsidR="004D71F8" w:rsidRPr="003A169D" w:rsidRDefault="004D71F8" w:rsidP="00B32D9F">
      <w:pPr>
        <w:spacing w:before="240"/>
        <w:jc w:val="both"/>
      </w:pPr>
      <w:r w:rsidRPr="003A169D">
        <w:t>En cuanto a las remuneraciones nominales, la totalidad de los sectores productivos mostraron crecimientos</w:t>
      </w:r>
      <w:r w:rsidR="00994AA8" w:rsidRPr="003A169D">
        <w:t xml:space="preserve"> importantes</w:t>
      </w:r>
      <w:r w:rsidRPr="003A169D">
        <w:t xml:space="preserve">, </w:t>
      </w:r>
      <w:r w:rsidR="00994AA8" w:rsidRPr="003A169D">
        <w:t xml:space="preserve">siendo </w:t>
      </w:r>
      <w:r w:rsidRPr="003A169D">
        <w:t xml:space="preserve">la mayor alza </w:t>
      </w:r>
      <w:r w:rsidR="00994AA8" w:rsidRPr="003A169D">
        <w:t>la registrada en el sector transporte y almacenamiento</w:t>
      </w:r>
      <w:r w:rsidR="00423088" w:rsidRPr="003A169D">
        <w:t>,</w:t>
      </w:r>
      <w:r w:rsidR="00994AA8" w:rsidRPr="003A169D">
        <w:t xml:space="preserve"> con </w:t>
      </w:r>
      <w:r w:rsidR="00EE7381" w:rsidRPr="003A169D">
        <w:t>10,6</w:t>
      </w:r>
      <w:r w:rsidR="00994AA8" w:rsidRPr="003A169D">
        <w:t>%</w:t>
      </w:r>
      <w:r w:rsidR="00423088" w:rsidRPr="003A169D">
        <w:t xml:space="preserve">. A continuación se ubicó </w:t>
      </w:r>
      <w:r w:rsidR="00994AA8" w:rsidRPr="003A169D">
        <w:t>e</w:t>
      </w:r>
      <w:r w:rsidR="00EE7381" w:rsidRPr="003A169D">
        <w:t>l comercio</w:t>
      </w:r>
      <w:r w:rsidR="00994AA8" w:rsidRPr="003A169D">
        <w:t xml:space="preserve"> (</w:t>
      </w:r>
      <w:r w:rsidR="00EE7381" w:rsidRPr="003A169D">
        <w:t>8,5</w:t>
      </w:r>
      <w:r w:rsidR="00994AA8" w:rsidRPr="003A169D">
        <w:t xml:space="preserve">%), </w:t>
      </w:r>
      <w:r w:rsidR="00EE7381" w:rsidRPr="003A169D">
        <w:t>construcción</w:t>
      </w:r>
      <w:r w:rsidR="00994AA8" w:rsidRPr="003A169D">
        <w:t xml:space="preserve"> (</w:t>
      </w:r>
      <w:r w:rsidR="00EE7381" w:rsidRPr="003A169D">
        <w:t>7,3</w:t>
      </w:r>
      <w:r w:rsidR="00994AA8" w:rsidRPr="003A169D">
        <w:t xml:space="preserve">%) y </w:t>
      </w:r>
      <w:r w:rsidR="00EE7381" w:rsidRPr="003A169D">
        <w:t>minería</w:t>
      </w:r>
      <w:r w:rsidR="00994AA8" w:rsidRPr="003A169D">
        <w:t xml:space="preserve"> (</w:t>
      </w:r>
      <w:r w:rsidR="00EE7381" w:rsidRPr="003A169D">
        <w:t>7,1</w:t>
      </w:r>
      <w:r w:rsidR="00994AA8" w:rsidRPr="003A169D">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6"/>
      </w:tblGrid>
      <w:tr w:rsidR="00B32D9F" w:rsidRPr="00872D84" w14:paraId="0778D9E0" w14:textId="77777777" w:rsidTr="00602CFC">
        <w:tc>
          <w:tcPr>
            <w:tcW w:w="8504" w:type="dxa"/>
          </w:tcPr>
          <w:p w14:paraId="161A3BE7" w14:textId="022CB4C7" w:rsidR="00B32D9F" w:rsidRPr="00872D84" w:rsidRDefault="00EE7381" w:rsidP="00150F58">
            <w:pPr>
              <w:jc w:val="center"/>
              <w:rPr>
                <w:color w:val="FF0000"/>
              </w:rPr>
            </w:pPr>
            <w:r>
              <w:rPr>
                <w:noProof/>
                <w:color w:val="FF0000"/>
              </w:rPr>
              <w:drawing>
                <wp:inline distT="0" distB="0" distL="0" distR="0" wp14:anchorId="423B5198" wp14:editId="47120634">
                  <wp:extent cx="5400000" cy="3527117"/>
                  <wp:effectExtent l="19050" t="19050" r="10795" b="165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3527117"/>
                          </a:xfrm>
                          <a:prstGeom prst="rect">
                            <a:avLst/>
                          </a:prstGeom>
                          <a:noFill/>
                          <a:ln>
                            <a:solidFill>
                              <a:schemeClr val="accent1"/>
                            </a:solidFill>
                          </a:ln>
                        </pic:spPr>
                      </pic:pic>
                    </a:graphicData>
                  </a:graphic>
                </wp:inline>
              </w:drawing>
            </w:r>
          </w:p>
        </w:tc>
      </w:tr>
    </w:tbl>
    <w:p w14:paraId="424B0865" w14:textId="0FA28A9B" w:rsidR="00B32D9F" w:rsidRPr="003A169D" w:rsidRDefault="00541A4F" w:rsidP="00B32D9F">
      <w:pPr>
        <w:spacing w:before="240"/>
        <w:jc w:val="both"/>
      </w:pPr>
      <w:r w:rsidRPr="003A169D">
        <w:t xml:space="preserve">El sector público en </w:t>
      </w:r>
      <w:r w:rsidR="00EE7381" w:rsidRPr="003A169D">
        <w:t>junio</w:t>
      </w:r>
      <w:r w:rsidRPr="003A169D">
        <w:t xml:space="preserve"> muestra un comportamiento positivo, registrado alzas tanto en el empleo como en las remuneraciones nominales</w:t>
      </w:r>
      <w:r w:rsidR="00046E5B" w:rsidRPr="003A169D">
        <w:t xml:space="preserve">. El número de asalariados del sector público alcanzó </w:t>
      </w:r>
      <w:r w:rsidR="006010D3" w:rsidRPr="003A169D">
        <w:t xml:space="preserve">las </w:t>
      </w:r>
      <w:r w:rsidR="00826311" w:rsidRPr="003A169D">
        <w:t>494</w:t>
      </w:r>
      <w:r w:rsidR="006010D3" w:rsidRPr="003A169D">
        <w:t xml:space="preserve"> mil personas</w:t>
      </w:r>
      <w:r w:rsidR="005160F3" w:rsidRPr="003A169D">
        <w:t>,</w:t>
      </w:r>
      <w:r w:rsidR="00046E5B" w:rsidRPr="003A169D">
        <w:t xml:space="preserve"> lo que se traduce en un alza de </w:t>
      </w:r>
      <w:r w:rsidR="00826311" w:rsidRPr="003A169D">
        <w:t>1</w:t>
      </w:r>
      <w:r w:rsidR="00046E5B" w:rsidRPr="003A169D">
        <w:t>% en los últimos 12 meses</w:t>
      </w:r>
      <w:r w:rsidR="005160F3" w:rsidRPr="003A169D">
        <w:t>.</w:t>
      </w:r>
      <w:r w:rsidR="00046E5B" w:rsidRPr="003A169D">
        <w:t xml:space="preserve"> </w:t>
      </w:r>
      <w:r w:rsidR="005160F3" w:rsidRPr="003A169D">
        <w:t>L</w:t>
      </w:r>
      <w:r w:rsidR="00046E5B" w:rsidRPr="003A169D">
        <w:t xml:space="preserve">as remuneraciones, </w:t>
      </w:r>
      <w:r w:rsidR="005160F3" w:rsidRPr="003A169D">
        <w:t>en tanto,</w:t>
      </w:r>
      <w:r w:rsidR="00046E5B" w:rsidRPr="003A169D">
        <w:t xml:space="preserve"> crecieron un 1,</w:t>
      </w:r>
      <w:r w:rsidR="00994AA8" w:rsidRPr="003A169D">
        <w:t>8</w:t>
      </w:r>
      <w:r w:rsidR="00046E5B" w:rsidRPr="003A169D">
        <w:t>%</w:t>
      </w:r>
      <w:r w:rsidR="002520EA" w:rsidRPr="003A169D">
        <w:t>, siendo el menor crecimiento en lo que va de 2021.</w:t>
      </w:r>
    </w:p>
    <w:p w14:paraId="1BF17FC7" w14:textId="4F1142E1" w:rsidR="005160F3" w:rsidRDefault="005160F3" w:rsidP="00B32D9F">
      <w:pPr>
        <w:spacing w:before="240"/>
        <w:jc w:val="both"/>
        <w:rPr>
          <w:color w:val="365F91" w:themeColor="accent1" w:themeShade="BF"/>
        </w:rPr>
      </w:pPr>
    </w:p>
    <w:tbl>
      <w:tblPr>
        <w:tblStyle w:val="Tablaconcuadrcula"/>
        <w:tblW w:w="0" w:type="auto"/>
        <w:tblLook w:val="04A0" w:firstRow="1" w:lastRow="0" w:firstColumn="1" w:lastColumn="0" w:noHBand="0" w:noVBand="1"/>
      </w:tblPr>
      <w:tblGrid>
        <w:gridCol w:w="8828"/>
      </w:tblGrid>
      <w:tr w:rsidR="00826311" w14:paraId="6EAEBE85" w14:textId="77777777" w:rsidTr="00826311">
        <w:tc>
          <w:tcPr>
            <w:tcW w:w="8828" w:type="dxa"/>
            <w:tcBorders>
              <w:top w:val="nil"/>
              <w:left w:val="nil"/>
              <w:bottom w:val="nil"/>
              <w:right w:val="nil"/>
            </w:tcBorders>
          </w:tcPr>
          <w:p w14:paraId="6F1E0B91" w14:textId="495F115E" w:rsidR="00826311" w:rsidRDefault="00826311" w:rsidP="00826311">
            <w:pPr>
              <w:jc w:val="both"/>
              <w:rPr>
                <w:color w:val="365F91" w:themeColor="accent1" w:themeShade="BF"/>
              </w:rPr>
            </w:pPr>
            <w:r>
              <w:rPr>
                <w:noProof/>
                <w:color w:val="365F91" w:themeColor="accent1" w:themeShade="BF"/>
              </w:rPr>
              <w:lastRenderedPageBreak/>
              <w:drawing>
                <wp:inline distT="0" distB="0" distL="0" distR="0" wp14:anchorId="3745591F" wp14:editId="43CB5F98">
                  <wp:extent cx="5400000" cy="3528025"/>
                  <wp:effectExtent l="19050" t="19050" r="10795" b="158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00" cy="3528025"/>
                          </a:xfrm>
                          <a:prstGeom prst="rect">
                            <a:avLst/>
                          </a:prstGeom>
                          <a:noFill/>
                          <a:ln>
                            <a:solidFill>
                              <a:schemeClr val="accent1"/>
                            </a:solidFill>
                          </a:ln>
                        </pic:spPr>
                      </pic:pic>
                    </a:graphicData>
                  </a:graphic>
                </wp:inline>
              </w:drawing>
            </w:r>
          </w:p>
        </w:tc>
      </w:tr>
    </w:tbl>
    <w:p w14:paraId="643F7ED6" w14:textId="25D8D86E" w:rsidR="005160F3" w:rsidRDefault="005160F3" w:rsidP="00826311">
      <w:pPr>
        <w:spacing w:after="0"/>
        <w:jc w:val="both"/>
        <w:rPr>
          <w:color w:val="365F91" w:themeColor="accent1" w:themeShade="BF"/>
        </w:rPr>
      </w:pPr>
    </w:p>
    <w:tbl>
      <w:tblPr>
        <w:tblStyle w:val="Tablaconcuadrcula"/>
        <w:tblW w:w="0" w:type="auto"/>
        <w:tblLook w:val="04A0" w:firstRow="1" w:lastRow="0" w:firstColumn="1" w:lastColumn="0" w:noHBand="0" w:noVBand="1"/>
      </w:tblPr>
      <w:tblGrid>
        <w:gridCol w:w="8828"/>
      </w:tblGrid>
      <w:tr w:rsidR="00B32D9F" w:rsidRPr="00872D84" w14:paraId="54100D9D" w14:textId="77777777" w:rsidTr="00150F58">
        <w:tc>
          <w:tcPr>
            <w:tcW w:w="8828" w:type="dxa"/>
            <w:tcBorders>
              <w:top w:val="nil"/>
              <w:left w:val="nil"/>
              <w:bottom w:val="nil"/>
              <w:right w:val="nil"/>
            </w:tcBorders>
          </w:tcPr>
          <w:p w14:paraId="02716A84" w14:textId="0C72C0EB" w:rsidR="00B32D9F" w:rsidRPr="00872D84" w:rsidRDefault="00826311" w:rsidP="00150F58">
            <w:pPr>
              <w:jc w:val="center"/>
              <w:rPr>
                <w:color w:val="FF0000"/>
              </w:rPr>
            </w:pPr>
            <w:r>
              <w:rPr>
                <w:noProof/>
                <w:color w:val="FF0000"/>
              </w:rPr>
              <w:drawing>
                <wp:inline distT="0" distB="0" distL="0" distR="0" wp14:anchorId="292AD6D6" wp14:editId="4FC55DE8">
                  <wp:extent cx="5400000" cy="3527117"/>
                  <wp:effectExtent l="19050" t="19050" r="10795" b="165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00000" cy="3527117"/>
                          </a:xfrm>
                          <a:prstGeom prst="rect">
                            <a:avLst/>
                          </a:prstGeom>
                          <a:noFill/>
                          <a:ln>
                            <a:solidFill>
                              <a:schemeClr val="accent1"/>
                            </a:solidFill>
                          </a:ln>
                        </pic:spPr>
                      </pic:pic>
                    </a:graphicData>
                  </a:graphic>
                </wp:inline>
              </w:drawing>
            </w:r>
          </w:p>
        </w:tc>
      </w:tr>
    </w:tbl>
    <w:p w14:paraId="3B402BB7" w14:textId="3708FFB8" w:rsidR="00B32D9F" w:rsidRPr="003A169D" w:rsidRDefault="00423088" w:rsidP="00526ED5">
      <w:pPr>
        <w:spacing w:before="240"/>
        <w:jc w:val="both"/>
      </w:pPr>
      <w:r w:rsidRPr="003A169D">
        <w:t>Para los próximos meses se espera que la masa salarial siga mostrando fuertes expansiones en 12 meses, debido a la mantención de bajísimas bases de comparación hasta el primer trimestre de este año. A ello se suman los efectos del desconfinamiento en la</w:t>
      </w:r>
      <w:r w:rsidR="000E082C" w:rsidRPr="003A169D">
        <w:t xml:space="preserve"> reactivación de las</w:t>
      </w:r>
      <w:r w:rsidRPr="003A169D">
        <w:t xml:space="preserve"> actividades presenciales y el significativo impulso de la demanda en consumo</w:t>
      </w:r>
      <w:r w:rsidR="000E082C" w:rsidRPr="003A169D">
        <w:t xml:space="preserve">, ambos factores que incentivan una mayor contratación de mano de obra. Desde el punto de vista de las remuneraciones, la menor </w:t>
      </w:r>
      <w:r w:rsidR="000E082C" w:rsidRPr="003A169D">
        <w:lastRenderedPageBreak/>
        <w:t xml:space="preserve">disposición a trabajar que ha generado la mejoría de ingresos de los hogares (por retiros de fondos de prensiones y subsidios estatales), junto a la necesidad de aumentar la contratación en las actividades que reabren, podría generar una presión al alza en los salarios medios, configurando un factor adicional que contribuirá al aumento en la masa salarial. </w:t>
      </w:r>
    </w:p>
    <w:p w14:paraId="304CC176" w14:textId="77777777" w:rsidR="003A169D" w:rsidRPr="003A169D" w:rsidRDefault="003A169D" w:rsidP="003A169D">
      <w:pPr>
        <w:rPr>
          <w:rFonts w:eastAsia="Times New Roman"/>
          <w:sz w:val="24"/>
          <w:szCs w:val="24"/>
        </w:rPr>
      </w:pPr>
      <w:r w:rsidRPr="003A169D">
        <w:rPr>
          <w:rFonts w:eastAsia="Times New Roman"/>
          <w:sz w:val="24"/>
          <w:szCs w:val="24"/>
        </w:rPr>
        <w:t>Colateralmente, este escenario añade factores de tensión al ya complejo panorama inflacionario, particularmente en un contexto en que una parte importante de los ingresos de los hogares se está yendo directamente a consumo corriente.</w:t>
      </w:r>
    </w:p>
    <w:p w14:paraId="6F4704D1" w14:textId="77777777" w:rsidR="003A169D" w:rsidRPr="005160F3" w:rsidRDefault="003A169D" w:rsidP="00526ED5">
      <w:pPr>
        <w:spacing w:before="240"/>
        <w:jc w:val="both"/>
        <w:rPr>
          <w:color w:val="365F91" w:themeColor="accent1" w:themeShade="BF"/>
        </w:rPr>
      </w:pPr>
    </w:p>
    <w:sectPr w:rsidR="003A169D" w:rsidRPr="005160F3" w:rsidSect="007F3E10">
      <w:headerReference w:type="default" r:id="rId12"/>
      <w:pgSz w:w="12240" w:h="15840"/>
      <w:pgMar w:top="1820" w:right="1701" w:bottom="709"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8943" w14:textId="77777777" w:rsidR="007C679C" w:rsidRDefault="007C679C" w:rsidP="00281CEC">
      <w:pPr>
        <w:spacing w:after="0" w:line="240" w:lineRule="auto"/>
      </w:pPr>
      <w:r>
        <w:separator/>
      </w:r>
    </w:p>
  </w:endnote>
  <w:endnote w:type="continuationSeparator" w:id="0">
    <w:p w14:paraId="48CFA95A" w14:textId="77777777" w:rsidR="007C679C" w:rsidRDefault="007C679C" w:rsidP="0028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C1F5" w14:textId="77777777" w:rsidR="007C679C" w:rsidRDefault="007C679C" w:rsidP="00281CEC">
      <w:pPr>
        <w:spacing w:after="0" w:line="240" w:lineRule="auto"/>
      </w:pPr>
      <w:r>
        <w:separator/>
      </w:r>
    </w:p>
  </w:footnote>
  <w:footnote w:type="continuationSeparator" w:id="0">
    <w:p w14:paraId="34EC6C94" w14:textId="77777777" w:rsidR="007C679C" w:rsidRDefault="007C679C" w:rsidP="00281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D460" w14:textId="4FE4D99F" w:rsidR="00F20E88" w:rsidRDefault="00A45411" w:rsidP="00A45411">
    <w:pPr>
      <w:pStyle w:val="Encabezado"/>
      <w:ind w:left="-1560" w:right="-1510"/>
    </w:pPr>
    <w:r>
      <w:rPr>
        <w:noProof/>
      </w:rPr>
      <w:drawing>
        <wp:inline distT="0" distB="0" distL="0" distR="0" wp14:anchorId="511BA771" wp14:editId="7EA943E2">
          <wp:extent cx="7482840" cy="838200"/>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becera COYUNTURA% (1).jpg"/>
                  <pic:cNvPicPr/>
                </pic:nvPicPr>
                <pic:blipFill>
                  <a:blip r:embed="rId1">
                    <a:extLst>
                      <a:ext uri="{28A0092B-C50C-407E-A947-70E740481C1C}">
                        <a14:useLocalDpi xmlns:a14="http://schemas.microsoft.com/office/drawing/2010/main" val="0"/>
                      </a:ext>
                    </a:extLst>
                  </a:blip>
                  <a:stretch>
                    <a:fillRect/>
                  </a:stretch>
                </pic:blipFill>
                <pic:spPr>
                  <a:xfrm>
                    <a:off x="0" y="0"/>
                    <a:ext cx="7482840" cy="838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82B53"/>
    <w:multiLevelType w:val="hybridMultilevel"/>
    <w:tmpl w:val="129075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C736993"/>
    <w:multiLevelType w:val="hybridMultilevel"/>
    <w:tmpl w:val="ED64B2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3363413"/>
    <w:multiLevelType w:val="hybridMultilevel"/>
    <w:tmpl w:val="AE4E80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3E"/>
    <w:rsid w:val="000043AE"/>
    <w:rsid w:val="000068E5"/>
    <w:rsid w:val="00006DFD"/>
    <w:rsid w:val="00007035"/>
    <w:rsid w:val="00007725"/>
    <w:rsid w:val="00007A1D"/>
    <w:rsid w:val="00007A6B"/>
    <w:rsid w:val="00012F95"/>
    <w:rsid w:val="000142A1"/>
    <w:rsid w:val="000174F1"/>
    <w:rsid w:val="00021D46"/>
    <w:rsid w:val="000229E3"/>
    <w:rsid w:val="00023403"/>
    <w:rsid w:val="000239CD"/>
    <w:rsid w:val="00024C80"/>
    <w:rsid w:val="00025FE1"/>
    <w:rsid w:val="00033050"/>
    <w:rsid w:val="00042661"/>
    <w:rsid w:val="00042774"/>
    <w:rsid w:val="000455D1"/>
    <w:rsid w:val="00046E5B"/>
    <w:rsid w:val="00047A90"/>
    <w:rsid w:val="00047DE2"/>
    <w:rsid w:val="00052A30"/>
    <w:rsid w:val="00057474"/>
    <w:rsid w:val="000607D2"/>
    <w:rsid w:val="00063493"/>
    <w:rsid w:val="00063F2D"/>
    <w:rsid w:val="000678A1"/>
    <w:rsid w:val="000679C9"/>
    <w:rsid w:val="0007505D"/>
    <w:rsid w:val="00077FE9"/>
    <w:rsid w:val="00082181"/>
    <w:rsid w:val="00082BCD"/>
    <w:rsid w:val="0008362B"/>
    <w:rsid w:val="000841AF"/>
    <w:rsid w:val="00085BCE"/>
    <w:rsid w:val="00086004"/>
    <w:rsid w:val="00086ABF"/>
    <w:rsid w:val="00087D41"/>
    <w:rsid w:val="0009195C"/>
    <w:rsid w:val="00091F42"/>
    <w:rsid w:val="0009233C"/>
    <w:rsid w:val="00097EF3"/>
    <w:rsid w:val="000A107D"/>
    <w:rsid w:val="000A4253"/>
    <w:rsid w:val="000A551C"/>
    <w:rsid w:val="000A5CC5"/>
    <w:rsid w:val="000B5224"/>
    <w:rsid w:val="000B597B"/>
    <w:rsid w:val="000B5E81"/>
    <w:rsid w:val="000B6269"/>
    <w:rsid w:val="000C7E4D"/>
    <w:rsid w:val="000D5197"/>
    <w:rsid w:val="000E082C"/>
    <w:rsid w:val="000E4004"/>
    <w:rsid w:val="000E5074"/>
    <w:rsid w:val="000E6266"/>
    <w:rsid w:val="000E7026"/>
    <w:rsid w:val="000E7AEE"/>
    <w:rsid w:val="000F0D9A"/>
    <w:rsid w:val="000F534B"/>
    <w:rsid w:val="000F69B0"/>
    <w:rsid w:val="000F77E4"/>
    <w:rsid w:val="00102421"/>
    <w:rsid w:val="0010277D"/>
    <w:rsid w:val="001032A7"/>
    <w:rsid w:val="00103B57"/>
    <w:rsid w:val="0010459D"/>
    <w:rsid w:val="00104EF3"/>
    <w:rsid w:val="001072D3"/>
    <w:rsid w:val="00110292"/>
    <w:rsid w:val="00112AC9"/>
    <w:rsid w:val="0011513E"/>
    <w:rsid w:val="00116100"/>
    <w:rsid w:val="001161FF"/>
    <w:rsid w:val="0012185E"/>
    <w:rsid w:val="001218A5"/>
    <w:rsid w:val="0012201C"/>
    <w:rsid w:val="00123848"/>
    <w:rsid w:val="0012385B"/>
    <w:rsid w:val="00123A65"/>
    <w:rsid w:val="001250F2"/>
    <w:rsid w:val="001265DA"/>
    <w:rsid w:val="00127596"/>
    <w:rsid w:val="00130F57"/>
    <w:rsid w:val="001336FC"/>
    <w:rsid w:val="00133729"/>
    <w:rsid w:val="001340C4"/>
    <w:rsid w:val="00135539"/>
    <w:rsid w:val="00141FAC"/>
    <w:rsid w:val="001425CC"/>
    <w:rsid w:val="00151584"/>
    <w:rsid w:val="00151594"/>
    <w:rsid w:val="001534CB"/>
    <w:rsid w:val="00156F95"/>
    <w:rsid w:val="00166133"/>
    <w:rsid w:val="00166A03"/>
    <w:rsid w:val="00167581"/>
    <w:rsid w:val="00170900"/>
    <w:rsid w:val="00171224"/>
    <w:rsid w:val="001731F2"/>
    <w:rsid w:val="00177591"/>
    <w:rsid w:val="00183B06"/>
    <w:rsid w:val="00184BAA"/>
    <w:rsid w:val="00193A1E"/>
    <w:rsid w:val="001A14E5"/>
    <w:rsid w:val="001A1A4E"/>
    <w:rsid w:val="001A2485"/>
    <w:rsid w:val="001A3966"/>
    <w:rsid w:val="001A7F83"/>
    <w:rsid w:val="001B092A"/>
    <w:rsid w:val="001B23E7"/>
    <w:rsid w:val="001B3AAD"/>
    <w:rsid w:val="001B58F9"/>
    <w:rsid w:val="001B59AE"/>
    <w:rsid w:val="001B75A5"/>
    <w:rsid w:val="001B7CE8"/>
    <w:rsid w:val="001C4F56"/>
    <w:rsid w:val="001C5E9D"/>
    <w:rsid w:val="001D4786"/>
    <w:rsid w:val="001D6CA1"/>
    <w:rsid w:val="001E0DF9"/>
    <w:rsid w:val="001E3B68"/>
    <w:rsid w:val="001E41FA"/>
    <w:rsid w:val="001E78F4"/>
    <w:rsid w:val="001F0580"/>
    <w:rsid w:val="00202090"/>
    <w:rsid w:val="00203984"/>
    <w:rsid w:val="00203E29"/>
    <w:rsid w:val="0020617D"/>
    <w:rsid w:val="00206BD7"/>
    <w:rsid w:val="00207C38"/>
    <w:rsid w:val="00210462"/>
    <w:rsid w:val="002106EF"/>
    <w:rsid w:val="00213C73"/>
    <w:rsid w:val="00213F1E"/>
    <w:rsid w:val="002152F6"/>
    <w:rsid w:val="00216744"/>
    <w:rsid w:val="00217532"/>
    <w:rsid w:val="00217991"/>
    <w:rsid w:val="00221E67"/>
    <w:rsid w:val="00222D86"/>
    <w:rsid w:val="00224F41"/>
    <w:rsid w:val="00227891"/>
    <w:rsid w:val="00236670"/>
    <w:rsid w:val="00237768"/>
    <w:rsid w:val="002453CF"/>
    <w:rsid w:val="002520EA"/>
    <w:rsid w:val="00260715"/>
    <w:rsid w:val="00260DE9"/>
    <w:rsid w:val="00261D65"/>
    <w:rsid w:val="00261EB7"/>
    <w:rsid w:val="00263F90"/>
    <w:rsid w:val="0026450E"/>
    <w:rsid w:val="00270D04"/>
    <w:rsid w:val="00276404"/>
    <w:rsid w:val="00281CEC"/>
    <w:rsid w:val="002832C1"/>
    <w:rsid w:val="00287B4E"/>
    <w:rsid w:val="00292073"/>
    <w:rsid w:val="002939D1"/>
    <w:rsid w:val="002953A0"/>
    <w:rsid w:val="00296EDB"/>
    <w:rsid w:val="002A1643"/>
    <w:rsid w:val="002A1B9E"/>
    <w:rsid w:val="002B417B"/>
    <w:rsid w:val="002B516F"/>
    <w:rsid w:val="002B5560"/>
    <w:rsid w:val="002B7896"/>
    <w:rsid w:val="002B7FFE"/>
    <w:rsid w:val="002C21C1"/>
    <w:rsid w:val="002D13E4"/>
    <w:rsid w:val="002D2260"/>
    <w:rsid w:val="002D4E29"/>
    <w:rsid w:val="002D60A2"/>
    <w:rsid w:val="002E2D19"/>
    <w:rsid w:val="002F1476"/>
    <w:rsid w:val="002F1A1E"/>
    <w:rsid w:val="002F2E06"/>
    <w:rsid w:val="002F694F"/>
    <w:rsid w:val="00300907"/>
    <w:rsid w:val="003075FC"/>
    <w:rsid w:val="00307F99"/>
    <w:rsid w:val="00312966"/>
    <w:rsid w:val="00312B2C"/>
    <w:rsid w:val="00313E2B"/>
    <w:rsid w:val="00316CB2"/>
    <w:rsid w:val="003221D9"/>
    <w:rsid w:val="00323187"/>
    <w:rsid w:val="0032469D"/>
    <w:rsid w:val="0032501C"/>
    <w:rsid w:val="00326689"/>
    <w:rsid w:val="00332187"/>
    <w:rsid w:val="00332BBD"/>
    <w:rsid w:val="003333F2"/>
    <w:rsid w:val="00335377"/>
    <w:rsid w:val="003354DC"/>
    <w:rsid w:val="00337B37"/>
    <w:rsid w:val="00341C67"/>
    <w:rsid w:val="003453EF"/>
    <w:rsid w:val="0034593C"/>
    <w:rsid w:val="003516F2"/>
    <w:rsid w:val="00352453"/>
    <w:rsid w:val="00353985"/>
    <w:rsid w:val="00356683"/>
    <w:rsid w:val="003647C3"/>
    <w:rsid w:val="0036682E"/>
    <w:rsid w:val="003678E5"/>
    <w:rsid w:val="00371A29"/>
    <w:rsid w:val="00372C3F"/>
    <w:rsid w:val="003738F3"/>
    <w:rsid w:val="00376374"/>
    <w:rsid w:val="0038326C"/>
    <w:rsid w:val="00384A18"/>
    <w:rsid w:val="00385873"/>
    <w:rsid w:val="00385A5E"/>
    <w:rsid w:val="003908C2"/>
    <w:rsid w:val="00391F41"/>
    <w:rsid w:val="003968E4"/>
    <w:rsid w:val="00397BB3"/>
    <w:rsid w:val="003A169D"/>
    <w:rsid w:val="003A4300"/>
    <w:rsid w:val="003B41CA"/>
    <w:rsid w:val="003B6ACB"/>
    <w:rsid w:val="003B6B21"/>
    <w:rsid w:val="003C00DD"/>
    <w:rsid w:val="003C59EE"/>
    <w:rsid w:val="003C6514"/>
    <w:rsid w:val="003D0DED"/>
    <w:rsid w:val="003D4D08"/>
    <w:rsid w:val="003D51B0"/>
    <w:rsid w:val="003D7ACA"/>
    <w:rsid w:val="003E0A94"/>
    <w:rsid w:val="003E12CD"/>
    <w:rsid w:val="003E3A83"/>
    <w:rsid w:val="003E6383"/>
    <w:rsid w:val="003F2DD6"/>
    <w:rsid w:val="003F4394"/>
    <w:rsid w:val="003F4445"/>
    <w:rsid w:val="003F7AD3"/>
    <w:rsid w:val="0040353E"/>
    <w:rsid w:val="00404DF4"/>
    <w:rsid w:val="00405497"/>
    <w:rsid w:val="00407F35"/>
    <w:rsid w:val="00411461"/>
    <w:rsid w:val="004114C3"/>
    <w:rsid w:val="00412D28"/>
    <w:rsid w:val="00417370"/>
    <w:rsid w:val="00421BA8"/>
    <w:rsid w:val="00421CA9"/>
    <w:rsid w:val="00423088"/>
    <w:rsid w:val="00423E3B"/>
    <w:rsid w:val="00425A3F"/>
    <w:rsid w:val="00430372"/>
    <w:rsid w:val="00431AA5"/>
    <w:rsid w:val="00433152"/>
    <w:rsid w:val="00433CBC"/>
    <w:rsid w:val="004344FF"/>
    <w:rsid w:val="004345BC"/>
    <w:rsid w:val="00435168"/>
    <w:rsid w:val="00437822"/>
    <w:rsid w:val="00442261"/>
    <w:rsid w:val="004422A9"/>
    <w:rsid w:val="00445585"/>
    <w:rsid w:val="004475F0"/>
    <w:rsid w:val="00447B2D"/>
    <w:rsid w:val="004524AB"/>
    <w:rsid w:val="00455DF4"/>
    <w:rsid w:val="00456166"/>
    <w:rsid w:val="00456A0D"/>
    <w:rsid w:val="00457091"/>
    <w:rsid w:val="00457EE7"/>
    <w:rsid w:val="00457FB0"/>
    <w:rsid w:val="0046169B"/>
    <w:rsid w:val="00465BEB"/>
    <w:rsid w:val="004672D1"/>
    <w:rsid w:val="00475FD0"/>
    <w:rsid w:val="00481B0C"/>
    <w:rsid w:val="004857E3"/>
    <w:rsid w:val="004858F9"/>
    <w:rsid w:val="004903B1"/>
    <w:rsid w:val="0049200B"/>
    <w:rsid w:val="0049271D"/>
    <w:rsid w:val="0049426C"/>
    <w:rsid w:val="00495887"/>
    <w:rsid w:val="00496E5B"/>
    <w:rsid w:val="00497047"/>
    <w:rsid w:val="004A1658"/>
    <w:rsid w:val="004A3049"/>
    <w:rsid w:val="004B265B"/>
    <w:rsid w:val="004B3832"/>
    <w:rsid w:val="004B74AB"/>
    <w:rsid w:val="004C37CE"/>
    <w:rsid w:val="004C38F7"/>
    <w:rsid w:val="004C3D3B"/>
    <w:rsid w:val="004C770D"/>
    <w:rsid w:val="004D51F8"/>
    <w:rsid w:val="004D71F8"/>
    <w:rsid w:val="004E349C"/>
    <w:rsid w:val="004E7D6B"/>
    <w:rsid w:val="004F290F"/>
    <w:rsid w:val="004F2F36"/>
    <w:rsid w:val="004F4766"/>
    <w:rsid w:val="004F5ED2"/>
    <w:rsid w:val="00502D7C"/>
    <w:rsid w:val="00504CBC"/>
    <w:rsid w:val="00506636"/>
    <w:rsid w:val="00507AE5"/>
    <w:rsid w:val="005112E6"/>
    <w:rsid w:val="00512393"/>
    <w:rsid w:val="00512C60"/>
    <w:rsid w:val="00514D06"/>
    <w:rsid w:val="005160F3"/>
    <w:rsid w:val="0051693E"/>
    <w:rsid w:val="00516FB6"/>
    <w:rsid w:val="00522274"/>
    <w:rsid w:val="00522C46"/>
    <w:rsid w:val="00526ED5"/>
    <w:rsid w:val="0053548C"/>
    <w:rsid w:val="005404EC"/>
    <w:rsid w:val="00541A4F"/>
    <w:rsid w:val="00550A70"/>
    <w:rsid w:val="00555CF2"/>
    <w:rsid w:val="005575EF"/>
    <w:rsid w:val="005629A3"/>
    <w:rsid w:val="005633B7"/>
    <w:rsid w:val="00563B79"/>
    <w:rsid w:val="00564C9B"/>
    <w:rsid w:val="00567AAF"/>
    <w:rsid w:val="00570C14"/>
    <w:rsid w:val="005732CF"/>
    <w:rsid w:val="00577005"/>
    <w:rsid w:val="00581F02"/>
    <w:rsid w:val="00582211"/>
    <w:rsid w:val="005841BA"/>
    <w:rsid w:val="0058597E"/>
    <w:rsid w:val="005914BD"/>
    <w:rsid w:val="005914F1"/>
    <w:rsid w:val="005963A1"/>
    <w:rsid w:val="00596613"/>
    <w:rsid w:val="00597FDC"/>
    <w:rsid w:val="005A58AA"/>
    <w:rsid w:val="005B3562"/>
    <w:rsid w:val="005B4D44"/>
    <w:rsid w:val="005B7917"/>
    <w:rsid w:val="005C0517"/>
    <w:rsid w:val="005C0BD4"/>
    <w:rsid w:val="005C3F0B"/>
    <w:rsid w:val="005C4F2E"/>
    <w:rsid w:val="005C508E"/>
    <w:rsid w:val="005D2516"/>
    <w:rsid w:val="005D438D"/>
    <w:rsid w:val="005D54B1"/>
    <w:rsid w:val="005E100B"/>
    <w:rsid w:val="005E3DA4"/>
    <w:rsid w:val="005E4253"/>
    <w:rsid w:val="005E4636"/>
    <w:rsid w:val="005E571C"/>
    <w:rsid w:val="005E5DC2"/>
    <w:rsid w:val="005E6B1C"/>
    <w:rsid w:val="005F12A0"/>
    <w:rsid w:val="005F41CA"/>
    <w:rsid w:val="005F5C52"/>
    <w:rsid w:val="005F756B"/>
    <w:rsid w:val="006010D3"/>
    <w:rsid w:val="00601726"/>
    <w:rsid w:val="0060196E"/>
    <w:rsid w:val="00602CFC"/>
    <w:rsid w:val="00604209"/>
    <w:rsid w:val="00604B26"/>
    <w:rsid w:val="006057F1"/>
    <w:rsid w:val="0060606F"/>
    <w:rsid w:val="00607505"/>
    <w:rsid w:val="00607E63"/>
    <w:rsid w:val="006103C3"/>
    <w:rsid w:val="00616973"/>
    <w:rsid w:val="00617814"/>
    <w:rsid w:val="00617B74"/>
    <w:rsid w:val="00622FAE"/>
    <w:rsid w:val="00626A47"/>
    <w:rsid w:val="006345E5"/>
    <w:rsid w:val="006370D4"/>
    <w:rsid w:val="006423C6"/>
    <w:rsid w:val="0064244C"/>
    <w:rsid w:val="006424F9"/>
    <w:rsid w:val="00650A34"/>
    <w:rsid w:val="00652499"/>
    <w:rsid w:val="0065295D"/>
    <w:rsid w:val="006529BC"/>
    <w:rsid w:val="006539CB"/>
    <w:rsid w:val="00655C05"/>
    <w:rsid w:val="00656CA4"/>
    <w:rsid w:val="006579F2"/>
    <w:rsid w:val="00661A82"/>
    <w:rsid w:val="00677935"/>
    <w:rsid w:val="00685017"/>
    <w:rsid w:val="00685183"/>
    <w:rsid w:val="00686580"/>
    <w:rsid w:val="006902B0"/>
    <w:rsid w:val="00690FB5"/>
    <w:rsid w:val="0069141C"/>
    <w:rsid w:val="00692BF5"/>
    <w:rsid w:val="00693F8A"/>
    <w:rsid w:val="00695BBF"/>
    <w:rsid w:val="006A12C2"/>
    <w:rsid w:val="006A6733"/>
    <w:rsid w:val="006A685B"/>
    <w:rsid w:val="006A7E75"/>
    <w:rsid w:val="006B2287"/>
    <w:rsid w:val="006B42E9"/>
    <w:rsid w:val="006B538F"/>
    <w:rsid w:val="006B636F"/>
    <w:rsid w:val="006C5F0F"/>
    <w:rsid w:val="006D654C"/>
    <w:rsid w:val="006E0A4D"/>
    <w:rsid w:val="006E236C"/>
    <w:rsid w:val="006E381D"/>
    <w:rsid w:val="006E7341"/>
    <w:rsid w:val="006F1AA6"/>
    <w:rsid w:val="006F1AC5"/>
    <w:rsid w:val="006F3216"/>
    <w:rsid w:val="006F606C"/>
    <w:rsid w:val="006F63B5"/>
    <w:rsid w:val="006F7318"/>
    <w:rsid w:val="006F7EE9"/>
    <w:rsid w:val="00710592"/>
    <w:rsid w:val="00710C70"/>
    <w:rsid w:val="007132D7"/>
    <w:rsid w:val="0071377B"/>
    <w:rsid w:val="00714EE4"/>
    <w:rsid w:val="00716B41"/>
    <w:rsid w:val="007213EC"/>
    <w:rsid w:val="00721A33"/>
    <w:rsid w:val="00723F48"/>
    <w:rsid w:val="00725692"/>
    <w:rsid w:val="00727370"/>
    <w:rsid w:val="007310FE"/>
    <w:rsid w:val="00731FC2"/>
    <w:rsid w:val="00732AB5"/>
    <w:rsid w:val="007345F9"/>
    <w:rsid w:val="00734EEF"/>
    <w:rsid w:val="00736A3B"/>
    <w:rsid w:val="00736FE0"/>
    <w:rsid w:val="00741D2A"/>
    <w:rsid w:val="0074209A"/>
    <w:rsid w:val="00744568"/>
    <w:rsid w:val="00744979"/>
    <w:rsid w:val="007453F4"/>
    <w:rsid w:val="00746BEA"/>
    <w:rsid w:val="00751EB5"/>
    <w:rsid w:val="00752EAF"/>
    <w:rsid w:val="00752F00"/>
    <w:rsid w:val="0075301D"/>
    <w:rsid w:val="00755E50"/>
    <w:rsid w:val="0076182E"/>
    <w:rsid w:val="0076187A"/>
    <w:rsid w:val="00764DBB"/>
    <w:rsid w:val="007678E2"/>
    <w:rsid w:val="00773FFC"/>
    <w:rsid w:val="007743C6"/>
    <w:rsid w:val="00775F3C"/>
    <w:rsid w:val="00776C75"/>
    <w:rsid w:val="0078402A"/>
    <w:rsid w:val="00785A8F"/>
    <w:rsid w:val="007870AE"/>
    <w:rsid w:val="00792324"/>
    <w:rsid w:val="00792E77"/>
    <w:rsid w:val="007938A8"/>
    <w:rsid w:val="00797A93"/>
    <w:rsid w:val="007A45FB"/>
    <w:rsid w:val="007B1B86"/>
    <w:rsid w:val="007B2986"/>
    <w:rsid w:val="007B7D50"/>
    <w:rsid w:val="007C58DB"/>
    <w:rsid w:val="007C679C"/>
    <w:rsid w:val="007D0B4F"/>
    <w:rsid w:val="007D38C5"/>
    <w:rsid w:val="007E0E44"/>
    <w:rsid w:val="007F1D55"/>
    <w:rsid w:val="007F21D7"/>
    <w:rsid w:val="007F3C12"/>
    <w:rsid w:val="007F3E10"/>
    <w:rsid w:val="007F7226"/>
    <w:rsid w:val="007F7887"/>
    <w:rsid w:val="008012D9"/>
    <w:rsid w:val="00801C46"/>
    <w:rsid w:val="0080383D"/>
    <w:rsid w:val="00805A2E"/>
    <w:rsid w:val="00810B4C"/>
    <w:rsid w:val="00811069"/>
    <w:rsid w:val="00815848"/>
    <w:rsid w:val="00816050"/>
    <w:rsid w:val="00817F16"/>
    <w:rsid w:val="008228C9"/>
    <w:rsid w:val="008255D3"/>
    <w:rsid w:val="00826311"/>
    <w:rsid w:val="00827CC4"/>
    <w:rsid w:val="00831A3C"/>
    <w:rsid w:val="008331B7"/>
    <w:rsid w:val="0083366E"/>
    <w:rsid w:val="00836746"/>
    <w:rsid w:val="0084262C"/>
    <w:rsid w:val="008468D2"/>
    <w:rsid w:val="00846908"/>
    <w:rsid w:val="008507A0"/>
    <w:rsid w:val="00850DD9"/>
    <w:rsid w:val="00852750"/>
    <w:rsid w:val="00852EA5"/>
    <w:rsid w:val="00853BA5"/>
    <w:rsid w:val="00854053"/>
    <w:rsid w:val="00854EA2"/>
    <w:rsid w:val="00856D08"/>
    <w:rsid w:val="00874B72"/>
    <w:rsid w:val="008761BC"/>
    <w:rsid w:val="00876202"/>
    <w:rsid w:val="008849A0"/>
    <w:rsid w:val="0088673F"/>
    <w:rsid w:val="00887030"/>
    <w:rsid w:val="00887770"/>
    <w:rsid w:val="008918AD"/>
    <w:rsid w:val="008A0792"/>
    <w:rsid w:val="008A1A54"/>
    <w:rsid w:val="008A5835"/>
    <w:rsid w:val="008A5C21"/>
    <w:rsid w:val="008A675C"/>
    <w:rsid w:val="008A6897"/>
    <w:rsid w:val="008A6F7D"/>
    <w:rsid w:val="008B6662"/>
    <w:rsid w:val="008C11CD"/>
    <w:rsid w:val="008C2B17"/>
    <w:rsid w:val="008C4778"/>
    <w:rsid w:val="008C69D3"/>
    <w:rsid w:val="008C7FD7"/>
    <w:rsid w:val="008D0429"/>
    <w:rsid w:val="008D1098"/>
    <w:rsid w:val="008D1669"/>
    <w:rsid w:val="008D1896"/>
    <w:rsid w:val="008D1F65"/>
    <w:rsid w:val="008D54D4"/>
    <w:rsid w:val="008D5FC0"/>
    <w:rsid w:val="008D61DE"/>
    <w:rsid w:val="008D6560"/>
    <w:rsid w:val="008E06F6"/>
    <w:rsid w:val="008E1DF1"/>
    <w:rsid w:val="008E624E"/>
    <w:rsid w:val="008F0695"/>
    <w:rsid w:val="008F369B"/>
    <w:rsid w:val="008F3A75"/>
    <w:rsid w:val="008F3DD3"/>
    <w:rsid w:val="008F41E5"/>
    <w:rsid w:val="008F56DB"/>
    <w:rsid w:val="008F5A69"/>
    <w:rsid w:val="008F6307"/>
    <w:rsid w:val="00900603"/>
    <w:rsid w:val="00903F82"/>
    <w:rsid w:val="00906F16"/>
    <w:rsid w:val="0091027E"/>
    <w:rsid w:val="00912337"/>
    <w:rsid w:val="00912B48"/>
    <w:rsid w:val="0091384A"/>
    <w:rsid w:val="0091491C"/>
    <w:rsid w:val="009165EA"/>
    <w:rsid w:val="00920135"/>
    <w:rsid w:val="0092046B"/>
    <w:rsid w:val="009239CA"/>
    <w:rsid w:val="00924A2B"/>
    <w:rsid w:val="00924E2A"/>
    <w:rsid w:val="0092514D"/>
    <w:rsid w:val="00926D28"/>
    <w:rsid w:val="0093072E"/>
    <w:rsid w:val="009314EE"/>
    <w:rsid w:val="0093234A"/>
    <w:rsid w:val="00934F89"/>
    <w:rsid w:val="009358A1"/>
    <w:rsid w:val="0094023E"/>
    <w:rsid w:val="0094031C"/>
    <w:rsid w:val="00940F57"/>
    <w:rsid w:val="00943D77"/>
    <w:rsid w:val="0094552D"/>
    <w:rsid w:val="00946716"/>
    <w:rsid w:val="009475C2"/>
    <w:rsid w:val="00950050"/>
    <w:rsid w:val="00950EAF"/>
    <w:rsid w:val="00952101"/>
    <w:rsid w:val="0095329D"/>
    <w:rsid w:val="00953860"/>
    <w:rsid w:val="00953A9E"/>
    <w:rsid w:val="00953E1E"/>
    <w:rsid w:val="009568A6"/>
    <w:rsid w:val="00957975"/>
    <w:rsid w:val="00960535"/>
    <w:rsid w:val="00960E6F"/>
    <w:rsid w:val="009619F9"/>
    <w:rsid w:val="00966692"/>
    <w:rsid w:val="0096741C"/>
    <w:rsid w:val="00972C7D"/>
    <w:rsid w:val="00973B14"/>
    <w:rsid w:val="00985912"/>
    <w:rsid w:val="00985CA6"/>
    <w:rsid w:val="009862C8"/>
    <w:rsid w:val="00986D3C"/>
    <w:rsid w:val="00987EA4"/>
    <w:rsid w:val="00991446"/>
    <w:rsid w:val="00994124"/>
    <w:rsid w:val="00994AA8"/>
    <w:rsid w:val="00994EFD"/>
    <w:rsid w:val="00995191"/>
    <w:rsid w:val="009956CD"/>
    <w:rsid w:val="00995DE5"/>
    <w:rsid w:val="00996119"/>
    <w:rsid w:val="00996720"/>
    <w:rsid w:val="009A341A"/>
    <w:rsid w:val="009B26A7"/>
    <w:rsid w:val="009B3572"/>
    <w:rsid w:val="009B4F5E"/>
    <w:rsid w:val="009B5ADC"/>
    <w:rsid w:val="009C0AD2"/>
    <w:rsid w:val="009C0BE9"/>
    <w:rsid w:val="009C243B"/>
    <w:rsid w:val="009C5441"/>
    <w:rsid w:val="009C5A18"/>
    <w:rsid w:val="009C5B6C"/>
    <w:rsid w:val="009C6C5B"/>
    <w:rsid w:val="009C6E83"/>
    <w:rsid w:val="009C73E9"/>
    <w:rsid w:val="009D3859"/>
    <w:rsid w:val="009D4A49"/>
    <w:rsid w:val="009D5258"/>
    <w:rsid w:val="009D57F0"/>
    <w:rsid w:val="009D7E02"/>
    <w:rsid w:val="009E08AE"/>
    <w:rsid w:val="009E3733"/>
    <w:rsid w:val="009E38C3"/>
    <w:rsid w:val="009E4880"/>
    <w:rsid w:val="009E58F8"/>
    <w:rsid w:val="009E73FA"/>
    <w:rsid w:val="009F0695"/>
    <w:rsid w:val="009F0E58"/>
    <w:rsid w:val="009F4AA6"/>
    <w:rsid w:val="009F629D"/>
    <w:rsid w:val="009F6E9C"/>
    <w:rsid w:val="00A00A0C"/>
    <w:rsid w:val="00A03212"/>
    <w:rsid w:val="00A03CC6"/>
    <w:rsid w:val="00A06266"/>
    <w:rsid w:val="00A067C2"/>
    <w:rsid w:val="00A11B6F"/>
    <w:rsid w:val="00A134EC"/>
    <w:rsid w:val="00A13C6D"/>
    <w:rsid w:val="00A14A45"/>
    <w:rsid w:val="00A25FD5"/>
    <w:rsid w:val="00A263B9"/>
    <w:rsid w:val="00A27796"/>
    <w:rsid w:val="00A3167F"/>
    <w:rsid w:val="00A35847"/>
    <w:rsid w:val="00A4047C"/>
    <w:rsid w:val="00A42421"/>
    <w:rsid w:val="00A42825"/>
    <w:rsid w:val="00A43004"/>
    <w:rsid w:val="00A44D57"/>
    <w:rsid w:val="00A45411"/>
    <w:rsid w:val="00A473C8"/>
    <w:rsid w:val="00A47F15"/>
    <w:rsid w:val="00A52B0C"/>
    <w:rsid w:val="00A5498D"/>
    <w:rsid w:val="00A55919"/>
    <w:rsid w:val="00A561AC"/>
    <w:rsid w:val="00A56B58"/>
    <w:rsid w:val="00A658BC"/>
    <w:rsid w:val="00A679A1"/>
    <w:rsid w:val="00A72483"/>
    <w:rsid w:val="00A72955"/>
    <w:rsid w:val="00A7466E"/>
    <w:rsid w:val="00A74C69"/>
    <w:rsid w:val="00A76F69"/>
    <w:rsid w:val="00A7748D"/>
    <w:rsid w:val="00A82EAA"/>
    <w:rsid w:val="00A832F8"/>
    <w:rsid w:val="00A8459B"/>
    <w:rsid w:val="00A869CB"/>
    <w:rsid w:val="00A909A0"/>
    <w:rsid w:val="00A95654"/>
    <w:rsid w:val="00AA0339"/>
    <w:rsid w:val="00AA16FA"/>
    <w:rsid w:val="00AA2979"/>
    <w:rsid w:val="00AA67AC"/>
    <w:rsid w:val="00AA789D"/>
    <w:rsid w:val="00AB7C03"/>
    <w:rsid w:val="00AB7EFB"/>
    <w:rsid w:val="00AC5A2C"/>
    <w:rsid w:val="00AC75D9"/>
    <w:rsid w:val="00AD1813"/>
    <w:rsid w:val="00AD1EB4"/>
    <w:rsid w:val="00AD34D7"/>
    <w:rsid w:val="00AD4C26"/>
    <w:rsid w:val="00AD59E3"/>
    <w:rsid w:val="00AD6029"/>
    <w:rsid w:val="00AE29E0"/>
    <w:rsid w:val="00AE596F"/>
    <w:rsid w:val="00AE7C46"/>
    <w:rsid w:val="00AF23A5"/>
    <w:rsid w:val="00AF283D"/>
    <w:rsid w:val="00B00AAC"/>
    <w:rsid w:val="00B0422A"/>
    <w:rsid w:val="00B10B81"/>
    <w:rsid w:val="00B20C18"/>
    <w:rsid w:val="00B243CF"/>
    <w:rsid w:val="00B2555F"/>
    <w:rsid w:val="00B25ED9"/>
    <w:rsid w:val="00B26102"/>
    <w:rsid w:val="00B30371"/>
    <w:rsid w:val="00B30603"/>
    <w:rsid w:val="00B30653"/>
    <w:rsid w:val="00B32934"/>
    <w:rsid w:val="00B32D9F"/>
    <w:rsid w:val="00B33BAC"/>
    <w:rsid w:val="00B36933"/>
    <w:rsid w:val="00B36DEC"/>
    <w:rsid w:val="00B414A2"/>
    <w:rsid w:val="00B42767"/>
    <w:rsid w:val="00B44EE3"/>
    <w:rsid w:val="00B532FC"/>
    <w:rsid w:val="00B53582"/>
    <w:rsid w:val="00B56F91"/>
    <w:rsid w:val="00B63397"/>
    <w:rsid w:val="00B63F35"/>
    <w:rsid w:val="00B642BD"/>
    <w:rsid w:val="00B66A1E"/>
    <w:rsid w:val="00B66D1C"/>
    <w:rsid w:val="00B67D22"/>
    <w:rsid w:val="00B7279F"/>
    <w:rsid w:val="00B74CED"/>
    <w:rsid w:val="00B83DF4"/>
    <w:rsid w:val="00B8406C"/>
    <w:rsid w:val="00B85D16"/>
    <w:rsid w:val="00B87225"/>
    <w:rsid w:val="00B92879"/>
    <w:rsid w:val="00B95AD5"/>
    <w:rsid w:val="00B97587"/>
    <w:rsid w:val="00B97E08"/>
    <w:rsid w:val="00BA0E52"/>
    <w:rsid w:val="00BA27C1"/>
    <w:rsid w:val="00BA5F9E"/>
    <w:rsid w:val="00BB1E67"/>
    <w:rsid w:val="00BB2839"/>
    <w:rsid w:val="00BB2C2D"/>
    <w:rsid w:val="00BB3D10"/>
    <w:rsid w:val="00BC09D6"/>
    <w:rsid w:val="00BC2161"/>
    <w:rsid w:val="00BC33A8"/>
    <w:rsid w:val="00BC40C6"/>
    <w:rsid w:val="00BC6B1D"/>
    <w:rsid w:val="00BC738E"/>
    <w:rsid w:val="00BC7659"/>
    <w:rsid w:val="00BD78A6"/>
    <w:rsid w:val="00BE722C"/>
    <w:rsid w:val="00BF11CE"/>
    <w:rsid w:val="00BF56F4"/>
    <w:rsid w:val="00C027A8"/>
    <w:rsid w:val="00C04871"/>
    <w:rsid w:val="00C05CCD"/>
    <w:rsid w:val="00C07707"/>
    <w:rsid w:val="00C132D6"/>
    <w:rsid w:val="00C13A1E"/>
    <w:rsid w:val="00C13AB1"/>
    <w:rsid w:val="00C143B7"/>
    <w:rsid w:val="00C149FE"/>
    <w:rsid w:val="00C152DA"/>
    <w:rsid w:val="00C16B72"/>
    <w:rsid w:val="00C16F5D"/>
    <w:rsid w:val="00C24D74"/>
    <w:rsid w:val="00C25A75"/>
    <w:rsid w:val="00C2665D"/>
    <w:rsid w:val="00C3406B"/>
    <w:rsid w:val="00C34D2E"/>
    <w:rsid w:val="00C34D3B"/>
    <w:rsid w:val="00C36A3D"/>
    <w:rsid w:val="00C37BFF"/>
    <w:rsid w:val="00C4377C"/>
    <w:rsid w:val="00C45B37"/>
    <w:rsid w:val="00C4711F"/>
    <w:rsid w:val="00C535F1"/>
    <w:rsid w:val="00C55F4C"/>
    <w:rsid w:val="00C605F8"/>
    <w:rsid w:val="00C64EEE"/>
    <w:rsid w:val="00C67A9C"/>
    <w:rsid w:val="00C728FA"/>
    <w:rsid w:val="00C75361"/>
    <w:rsid w:val="00C75362"/>
    <w:rsid w:val="00C76B5B"/>
    <w:rsid w:val="00C776D0"/>
    <w:rsid w:val="00C82DD3"/>
    <w:rsid w:val="00C845B5"/>
    <w:rsid w:val="00C85E14"/>
    <w:rsid w:val="00C87970"/>
    <w:rsid w:val="00C91059"/>
    <w:rsid w:val="00C91A7D"/>
    <w:rsid w:val="00C92C93"/>
    <w:rsid w:val="00C92E15"/>
    <w:rsid w:val="00CA0769"/>
    <w:rsid w:val="00CA4C38"/>
    <w:rsid w:val="00CA5058"/>
    <w:rsid w:val="00CB0D79"/>
    <w:rsid w:val="00CB0FCB"/>
    <w:rsid w:val="00CB296F"/>
    <w:rsid w:val="00CB5437"/>
    <w:rsid w:val="00CB65DC"/>
    <w:rsid w:val="00CB67B0"/>
    <w:rsid w:val="00CC06D2"/>
    <w:rsid w:val="00CC364E"/>
    <w:rsid w:val="00CC3F03"/>
    <w:rsid w:val="00CD1E4D"/>
    <w:rsid w:val="00CD3DD7"/>
    <w:rsid w:val="00CD42DC"/>
    <w:rsid w:val="00CD73E4"/>
    <w:rsid w:val="00CE5177"/>
    <w:rsid w:val="00CE73E7"/>
    <w:rsid w:val="00CE796C"/>
    <w:rsid w:val="00CF0552"/>
    <w:rsid w:val="00CF06C1"/>
    <w:rsid w:val="00CF1DAC"/>
    <w:rsid w:val="00CF5530"/>
    <w:rsid w:val="00CF6662"/>
    <w:rsid w:val="00D02EBE"/>
    <w:rsid w:val="00D032ED"/>
    <w:rsid w:val="00D05944"/>
    <w:rsid w:val="00D13245"/>
    <w:rsid w:val="00D13810"/>
    <w:rsid w:val="00D13854"/>
    <w:rsid w:val="00D13A52"/>
    <w:rsid w:val="00D1410E"/>
    <w:rsid w:val="00D168A4"/>
    <w:rsid w:val="00D17D44"/>
    <w:rsid w:val="00D20CD3"/>
    <w:rsid w:val="00D22FF2"/>
    <w:rsid w:val="00D25D81"/>
    <w:rsid w:val="00D26982"/>
    <w:rsid w:val="00D31558"/>
    <w:rsid w:val="00D32056"/>
    <w:rsid w:val="00D41810"/>
    <w:rsid w:val="00D41A54"/>
    <w:rsid w:val="00D42E6D"/>
    <w:rsid w:val="00D502AE"/>
    <w:rsid w:val="00D57C5E"/>
    <w:rsid w:val="00D63293"/>
    <w:rsid w:val="00D635C1"/>
    <w:rsid w:val="00D6603F"/>
    <w:rsid w:val="00D663F6"/>
    <w:rsid w:val="00D7020C"/>
    <w:rsid w:val="00D70EB1"/>
    <w:rsid w:val="00D74CD2"/>
    <w:rsid w:val="00D74ECD"/>
    <w:rsid w:val="00D7586B"/>
    <w:rsid w:val="00D80A08"/>
    <w:rsid w:val="00D8143F"/>
    <w:rsid w:val="00D86C8D"/>
    <w:rsid w:val="00D90B02"/>
    <w:rsid w:val="00D90C59"/>
    <w:rsid w:val="00D914BC"/>
    <w:rsid w:val="00D92C1F"/>
    <w:rsid w:val="00D94F57"/>
    <w:rsid w:val="00D97662"/>
    <w:rsid w:val="00DA0AF5"/>
    <w:rsid w:val="00DA4922"/>
    <w:rsid w:val="00DA6B4B"/>
    <w:rsid w:val="00DB0613"/>
    <w:rsid w:val="00DB4EC8"/>
    <w:rsid w:val="00DB7868"/>
    <w:rsid w:val="00DC2FB2"/>
    <w:rsid w:val="00DC6920"/>
    <w:rsid w:val="00DC6F6D"/>
    <w:rsid w:val="00DD2902"/>
    <w:rsid w:val="00DD44BF"/>
    <w:rsid w:val="00DD6A3C"/>
    <w:rsid w:val="00DE17CE"/>
    <w:rsid w:val="00DE18B5"/>
    <w:rsid w:val="00DE1C62"/>
    <w:rsid w:val="00DE25F8"/>
    <w:rsid w:val="00DE2B4C"/>
    <w:rsid w:val="00DE41C5"/>
    <w:rsid w:val="00DE6CB6"/>
    <w:rsid w:val="00DE7DF1"/>
    <w:rsid w:val="00DF30BC"/>
    <w:rsid w:val="00DF45CC"/>
    <w:rsid w:val="00DF7788"/>
    <w:rsid w:val="00E0023A"/>
    <w:rsid w:val="00E027DD"/>
    <w:rsid w:val="00E02A46"/>
    <w:rsid w:val="00E02DF7"/>
    <w:rsid w:val="00E02F0E"/>
    <w:rsid w:val="00E03BB6"/>
    <w:rsid w:val="00E060AC"/>
    <w:rsid w:val="00E10543"/>
    <w:rsid w:val="00E163A1"/>
    <w:rsid w:val="00E202F9"/>
    <w:rsid w:val="00E20C26"/>
    <w:rsid w:val="00E24624"/>
    <w:rsid w:val="00E3092A"/>
    <w:rsid w:val="00E34B99"/>
    <w:rsid w:val="00E358EF"/>
    <w:rsid w:val="00E411F1"/>
    <w:rsid w:val="00E4120E"/>
    <w:rsid w:val="00E428DA"/>
    <w:rsid w:val="00E47416"/>
    <w:rsid w:val="00E476AB"/>
    <w:rsid w:val="00E505E5"/>
    <w:rsid w:val="00E53BAB"/>
    <w:rsid w:val="00E5406B"/>
    <w:rsid w:val="00E54773"/>
    <w:rsid w:val="00E6022E"/>
    <w:rsid w:val="00E6102B"/>
    <w:rsid w:val="00E6340A"/>
    <w:rsid w:val="00E64474"/>
    <w:rsid w:val="00E65A13"/>
    <w:rsid w:val="00E6611A"/>
    <w:rsid w:val="00E71745"/>
    <w:rsid w:val="00E7349C"/>
    <w:rsid w:val="00E756B3"/>
    <w:rsid w:val="00E75C42"/>
    <w:rsid w:val="00E905F7"/>
    <w:rsid w:val="00E91F6A"/>
    <w:rsid w:val="00E92E55"/>
    <w:rsid w:val="00EA0F21"/>
    <w:rsid w:val="00EA1D96"/>
    <w:rsid w:val="00EA5C6A"/>
    <w:rsid w:val="00EA7213"/>
    <w:rsid w:val="00EB550B"/>
    <w:rsid w:val="00EC435E"/>
    <w:rsid w:val="00EC4980"/>
    <w:rsid w:val="00EC55F0"/>
    <w:rsid w:val="00EC6A9B"/>
    <w:rsid w:val="00ED5698"/>
    <w:rsid w:val="00EE108F"/>
    <w:rsid w:val="00EE12E9"/>
    <w:rsid w:val="00EE296F"/>
    <w:rsid w:val="00EE2F93"/>
    <w:rsid w:val="00EE5D49"/>
    <w:rsid w:val="00EE7381"/>
    <w:rsid w:val="00EF0D91"/>
    <w:rsid w:val="00EF38C4"/>
    <w:rsid w:val="00EF3BA1"/>
    <w:rsid w:val="00EF5EDF"/>
    <w:rsid w:val="00F04EE5"/>
    <w:rsid w:val="00F05602"/>
    <w:rsid w:val="00F06C16"/>
    <w:rsid w:val="00F0702C"/>
    <w:rsid w:val="00F11634"/>
    <w:rsid w:val="00F20E88"/>
    <w:rsid w:val="00F210B3"/>
    <w:rsid w:val="00F22FA9"/>
    <w:rsid w:val="00F27F71"/>
    <w:rsid w:val="00F3295E"/>
    <w:rsid w:val="00F34264"/>
    <w:rsid w:val="00F40182"/>
    <w:rsid w:val="00F402DE"/>
    <w:rsid w:val="00F45FED"/>
    <w:rsid w:val="00F5542B"/>
    <w:rsid w:val="00F56371"/>
    <w:rsid w:val="00F56E98"/>
    <w:rsid w:val="00F60637"/>
    <w:rsid w:val="00F61661"/>
    <w:rsid w:val="00F62704"/>
    <w:rsid w:val="00F6456F"/>
    <w:rsid w:val="00F72150"/>
    <w:rsid w:val="00F736D5"/>
    <w:rsid w:val="00F837F9"/>
    <w:rsid w:val="00F90080"/>
    <w:rsid w:val="00F92C6E"/>
    <w:rsid w:val="00F95821"/>
    <w:rsid w:val="00F96C2B"/>
    <w:rsid w:val="00FA2570"/>
    <w:rsid w:val="00FA2A06"/>
    <w:rsid w:val="00FA32B8"/>
    <w:rsid w:val="00FA4994"/>
    <w:rsid w:val="00FA4E36"/>
    <w:rsid w:val="00FA6FF0"/>
    <w:rsid w:val="00FB1A65"/>
    <w:rsid w:val="00FB54B4"/>
    <w:rsid w:val="00FB75F0"/>
    <w:rsid w:val="00FC0DBD"/>
    <w:rsid w:val="00FC1A32"/>
    <w:rsid w:val="00FC1C9C"/>
    <w:rsid w:val="00FC1DB8"/>
    <w:rsid w:val="00FC675B"/>
    <w:rsid w:val="00FD092D"/>
    <w:rsid w:val="00FD209E"/>
    <w:rsid w:val="00FD31F6"/>
    <w:rsid w:val="00FD372C"/>
    <w:rsid w:val="00FD3B1F"/>
    <w:rsid w:val="00FD3B3D"/>
    <w:rsid w:val="00FD6751"/>
    <w:rsid w:val="00FE2740"/>
    <w:rsid w:val="00FE458D"/>
    <w:rsid w:val="00FE5D3E"/>
    <w:rsid w:val="00FE7FE2"/>
    <w:rsid w:val="00FF02F8"/>
    <w:rsid w:val="00FF0945"/>
    <w:rsid w:val="00FF158F"/>
    <w:rsid w:val="00FF2A15"/>
    <w:rsid w:val="00FF4334"/>
    <w:rsid w:val="00FF4ED7"/>
    <w:rsid w:val="00FF6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65DEA"/>
  <w15:docId w15:val="{CD968754-3AAF-40BD-9F0E-344E57AF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67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675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581"/>
    <w:rPr>
      <w:rFonts w:ascii="Tahoma" w:hAnsi="Tahoma" w:cs="Tahoma"/>
      <w:sz w:val="16"/>
      <w:szCs w:val="16"/>
    </w:rPr>
  </w:style>
  <w:style w:type="character" w:styleId="Textoennegrita">
    <w:name w:val="Strong"/>
    <w:basedOn w:val="Fuentedeprrafopredeter"/>
    <w:uiPriority w:val="22"/>
    <w:qFormat/>
    <w:rsid w:val="00BF56F4"/>
    <w:rPr>
      <w:b/>
      <w:bCs/>
    </w:rPr>
  </w:style>
  <w:style w:type="paragraph" w:styleId="Textonotapie">
    <w:name w:val="footnote text"/>
    <w:basedOn w:val="Normal"/>
    <w:link w:val="TextonotapieCar"/>
    <w:uiPriority w:val="99"/>
    <w:semiHidden/>
    <w:unhideWhenUsed/>
    <w:rsid w:val="00281C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81CEC"/>
    <w:rPr>
      <w:sz w:val="20"/>
      <w:szCs w:val="20"/>
    </w:rPr>
  </w:style>
  <w:style w:type="character" w:styleId="Refdenotaalpie">
    <w:name w:val="footnote reference"/>
    <w:basedOn w:val="Fuentedeprrafopredeter"/>
    <w:uiPriority w:val="99"/>
    <w:semiHidden/>
    <w:unhideWhenUsed/>
    <w:rsid w:val="00281CEC"/>
    <w:rPr>
      <w:vertAlign w:val="superscript"/>
    </w:rPr>
  </w:style>
  <w:style w:type="character" w:styleId="Hipervnculo">
    <w:name w:val="Hyperlink"/>
    <w:basedOn w:val="Fuentedeprrafopredeter"/>
    <w:uiPriority w:val="99"/>
    <w:unhideWhenUsed/>
    <w:rsid w:val="00281CEC"/>
    <w:rPr>
      <w:color w:val="0000FF"/>
      <w:u w:val="single"/>
    </w:rPr>
  </w:style>
  <w:style w:type="paragraph" w:styleId="Encabezado">
    <w:name w:val="header"/>
    <w:basedOn w:val="Normal"/>
    <w:link w:val="EncabezadoCar"/>
    <w:uiPriority w:val="99"/>
    <w:unhideWhenUsed/>
    <w:rsid w:val="00F20E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0E88"/>
  </w:style>
  <w:style w:type="paragraph" w:styleId="Piedepgina">
    <w:name w:val="footer"/>
    <w:basedOn w:val="Normal"/>
    <w:link w:val="PiedepginaCar"/>
    <w:uiPriority w:val="99"/>
    <w:unhideWhenUsed/>
    <w:rsid w:val="00F20E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0E88"/>
  </w:style>
  <w:style w:type="paragraph" w:styleId="Prrafodelista">
    <w:name w:val="List Paragraph"/>
    <w:basedOn w:val="Normal"/>
    <w:uiPriority w:val="34"/>
    <w:qFormat/>
    <w:rsid w:val="007870AE"/>
    <w:pPr>
      <w:ind w:left="720"/>
      <w:contextualSpacing/>
    </w:pPr>
  </w:style>
  <w:style w:type="character" w:styleId="Mencinsinresolver">
    <w:name w:val="Unresolved Mention"/>
    <w:basedOn w:val="Fuentedeprrafopredeter"/>
    <w:uiPriority w:val="99"/>
    <w:semiHidden/>
    <w:unhideWhenUsed/>
    <w:rsid w:val="00E73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81800">
      <w:bodyDiv w:val="1"/>
      <w:marLeft w:val="0"/>
      <w:marRight w:val="0"/>
      <w:marTop w:val="0"/>
      <w:marBottom w:val="0"/>
      <w:divBdr>
        <w:top w:val="none" w:sz="0" w:space="0" w:color="auto"/>
        <w:left w:val="none" w:sz="0" w:space="0" w:color="auto"/>
        <w:bottom w:val="none" w:sz="0" w:space="0" w:color="auto"/>
        <w:right w:val="none" w:sz="0" w:space="0" w:color="auto"/>
      </w:divBdr>
    </w:div>
    <w:div w:id="426973519">
      <w:bodyDiv w:val="1"/>
      <w:marLeft w:val="0"/>
      <w:marRight w:val="0"/>
      <w:marTop w:val="0"/>
      <w:marBottom w:val="0"/>
      <w:divBdr>
        <w:top w:val="none" w:sz="0" w:space="0" w:color="auto"/>
        <w:left w:val="none" w:sz="0" w:space="0" w:color="auto"/>
        <w:bottom w:val="none" w:sz="0" w:space="0" w:color="auto"/>
        <w:right w:val="none" w:sz="0" w:space="0" w:color="auto"/>
      </w:divBdr>
    </w:div>
    <w:div w:id="472259124">
      <w:bodyDiv w:val="1"/>
      <w:marLeft w:val="0"/>
      <w:marRight w:val="0"/>
      <w:marTop w:val="0"/>
      <w:marBottom w:val="0"/>
      <w:divBdr>
        <w:top w:val="none" w:sz="0" w:space="0" w:color="auto"/>
        <w:left w:val="none" w:sz="0" w:space="0" w:color="auto"/>
        <w:bottom w:val="none" w:sz="0" w:space="0" w:color="auto"/>
        <w:right w:val="none" w:sz="0" w:space="0" w:color="auto"/>
      </w:divBdr>
    </w:div>
    <w:div w:id="1238856500">
      <w:bodyDiv w:val="1"/>
      <w:marLeft w:val="0"/>
      <w:marRight w:val="0"/>
      <w:marTop w:val="0"/>
      <w:marBottom w:val="0"/>
      <w:divBdr>
        <w:top w:val="none" w:sz="0" w:space="0" w:color="auto"/>
        <w:left w:val="none" w:sz="0" w:space="0" w:color="auto"/>
        <w:bottom w:val="none" w:sz="0" w:space="0" w:color="auto"/>
        <w:right w:val="none" w:sz="0" w:space="0" w:color="auto"/>
      </w:divBdr>
    </w:div>
    <w:div w:id="152745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799AA-3A57-422C-8629-7972ABC3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Enzo Rodriguez Alexandre</dc:creator>
  <cp:lastModifiedBy>Soledad Castro Winter</cp:lastModifiedBy>
  <cp:revision>2</cp:revision>
  <cp:lastPrinted>2020-09-08T22:07:00Z</cp:lastPrinted>
  <dcterms:created xsi:type="dcterms:W3CDTF">2021-09-23T19:47:00Z</dcterms:created>
  <dcterms:modified xsi:type="dcterms:W3CDTF">2021-09-23T19:47:00Z</dcterms:modified>
</cp:coreProperties>
</file>